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1" w:rsidRPr="00452511" w:rsidRDefault="00452511" w:rsidP="00D0435F">
      <w:pPr>
        <w:spacing w:after="0" w:line="360" w:lineRule="auto"/>
        <w:jc w:val="center"/>
        <w:rPr>
          <w:rFonts w:ascii="Arial" w:hAnsi="Arial" w:cs="David" w:hint="cs"/>
          <w:sz w:val="28"/>
          <w:szCs w:val="28"/>
        </w:rPr>
      </w:pPr>
      <w:r w:rsidRPr="00452511">
        <w:rPr>
          <w:rFonts w:ascii="Arial" w:hAnsi="Arial" w:cs="David"/>
          <w:sz w:val="28"/>
          <w:szCs w:val="28"/>
          <w:rtl/>
        </w:rPr>
        <w:drawing>
          <wp:inline distT="0" distB="0" distL="0" distR="0">
            <wp:extent cx="3529486" cy="1998890"/>
            <wp:effectExtent l="19050" t="19050" r="13814" b="2041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86" cy="1998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90" w:rsidRPr="008940D1" w:rsidRDefault="00E57090" w:rsidP="00D0435F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940D1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השוואה בין </w:t>
      </w:r>
      <w:r w:rsidR="00D0435F">
        <w:rPr>
          <w:rFonts w:ascii="Arial" w:hAnsi="Arial" w:cs="David" w:hint="cs"/>
          <w:b/>
          <w:bCs/>
          <w:sz w:val="28"/>
          <w:szCs w:val="28"/>
          <w:u w:val="single"/>
          <w:rtl/>
        </w:rPr>
        <w:t>נטילת חיים</w:t>
      </w:r>
      <w:r w:rsidRPr="008940D1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מתוך פסיכוזה</w:t>
      </w:r>
      <w:r w:rsidRPr="008940D1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לבין רצח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פלילי</w:t>
      </w:r>
      <w:r w:rsidRPr="008940D1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E57090" w:rsidRDefault="00E57090" w:rsidP="00E57090">
      <w:pPr>
        <w:spacing w:after="0" w:line="360" w:lineRule="auto"/>
        <w:jc w:val="center"/>
        <w:rPr>
          <w:rFonts w:ascii="David" w:hAnsi="David" w:cs="David"/>
          <w:rtl/>
        </w:rPr>
      </w:pPr>
    </w:p>
    <w:p w:rsidR="00E57090" w:rsidRPr="00E57090" w:rsidRDefault="00E57090" w:rsidP="00E57090">
      <w:pPr>
        <w:spacing w:after="0" w:line="360" w:lineRule="auto"/>
        <w:jc w:val="center"/>
        <w:rPr>
          <w:rFonts w:ascii="David" w:hAnsi="David" w:cs="David"/>
          <w:rtl/>
        </w:rPr>
      </w:pPr>
      <w:r w:rsidRPr="00E57090">
        <w:rPr>
          <w:rFonts w:ascii="David" w:hAnsi="David" w:cs="David" w:hint="cs"/>
          <w:rtl/>
        </w:rPr>
        <w:t xml:space="preserve">ד"ר ענת </w:t>
      </w:r>
      <w:r w:rsidRPr="00E57090">
        <w:rPr>
          <w:rFonts w:ascii="David" w:hAnsi="David" w:cs="David"/>
          <w:rtl/>
        </w:rPr>
        <w:t xml:space="preserve">ירון </w:t>
      </w:r>
      <w:proofErr w:type="spellStart"/>
      <w:r w:rsidRPr="00E57090">
        <w:rPr>
          <w:rFonts w:ascii="David" w:hAnsi="David" w:cs="David"/>
          <w:rtl/>
        </w:rPr>
        <w:t>ענתר</w:t>
      </w:r>
      <w:proofErr w:type="spellEnd"/>
      <w:r w:rsidRPr="00E57090">
        <w:rPr>
          <w:rFonts w:ascii="David" w:hAnsi="David" w:cs="David" w:hint="cs"/>
          <w:rtl/>
        </w:rPr>
        <w:t>* ורוני בנצור**</w:t>
      </w:r>
    </w:p>
    <w:p w:rsidR="00E57090" w:rsidRPr="00E57090" w:rsidRDefault="00E57090" w:rsidP="00E57090">
      <w:pPr>
        <w:spacing w:after="0" w:line="360" w:lineRule="auto"/>
        <w:jc w:val="center"/>
        <w:rPr>
          <w:rFonts w:ascii="David" w:hAnsi="David" w:cs="David"/>
          <w:rtl/>
        </w:rPr>
      </w:pPr>
      <w:r w:rsidRPr="00E57090">
        <w:rPr>
          <w:rFonts w:ascii="David" w:hAnsi="David" w:cs="David" w:hint="cs"/>
          <w:rtl/>
        </w:rPr>
        <w:t>*</w:t>
      </w:r>
      <w:r w:rsidRPr="00E57090">
        <w:rPr>
          <w:rFonts w:ascii="David" w:hAnsi="David" w:cs="David"/>
          <w:rtl/>
        </w:rPr>
        <w:t>מרכז בריאות הנפש שער מנשה והמכללה האקדמית עמק יזרעאל</w:t>
      </w:r>
    </w:p>
    <w:p w:rsidR="00E57090" w:rsidRPr="00E57090" w:rsidRDefault="00E57090" w:rsidP="00E57090">
      <w:pPr>
        <w:spacing w:after="0" w:line="360" w:lineRule="auto"/>
        <w:jc w:val="center"/>
        <w:rPr>
          <w:rFonts w:ascii="David" w:hAnsi="David" w:cs="David"/>
          <w:rtl/>
        </w:rPr>
      </w:pPr>
      <w:r w:rsidRPr="00E57090">
        <w:rPr>
          <w:rFonts w:ascii="David" w:hAnsi="David" w:cs="David" w:hint="cs"/>
          <w:rtl/>
        </w:rPr>
        <w:t>**</w:t>
      </w:r>
      <w:r w:rsidRPr="00E57090">
        <w:rPr>
          <w:rFonts w:ascii="David" w:hAnsi="David" w:cs="David"/>
          <w:rtl/>
        </w:rPr>
        <w:t>מרכז בריאות הנפש שער מנשה, המרכז הרפואי שיבא תל השומר</w:t>
      </w:r>
      <w:r w:rsidRPr="00E57090">
        <w:rPr>
          <w:rFonts w:ascii="David" w:hAnsi="David" w:cs="David" w:hint="cs"/>
          <w:rtl/>
        </w:rPr>
        <w:t xml:space="preserve"> ו</w:t>
      </w:r>
      <w:r w:rsidRPr="00E57090">
        <w:rPr>
          <w:rFonts w:ascii="David" w:hAnsi="David" w:cs="David"/>
          <w:rtl/>
        </w:rPr>
        <w:t xml:space="preserve"> אוניברסיטת בר אילן</w:t>
      </w:r>
    </w:p>
    <w:p w:rsidR="00E57090" w:rsidRDefault="00E57090" w:rsidP="00E57090">
      <w:pPr>
        <w:spacing w:after="0" w:line="360" w:lineRule="auto"/>
        <w:jc w:val="both"/>
        <w:rPr>
          <w:rFonts w:ascii="David" w:hAnsi="David" w:cs="David"/>
          <w:rtl/>
        </w:rPr>
      </w:pPr>
    </w:p>
    <w:p w:rsidR="00E57090" w:rsidRPr="00E57090" w:rsidRDefault="00D0435F" w:rsidP="00D0435F">
      <w:pPr>
        <w:spacing w:after="0" w:line="360" w:lineRule="auto"/>
        <w:ind w:right="709"/>
        <w:jc w:val="both"/>
        <w:rPr>
          <w:rFonts w:ascii="David" w:hAnsi="David" w:cs="David"/>
          <w:sz w:val="24"/>
          <w:szCs w:val="24"/>
          <w:rtl/>
        </w:rPr>
      </w:pPr>
      <w:r w:rsidRPr="00C33526">
        <w:rPr>
          <w:rFonts w:ascii="David" w:hAnsi="David" w:cs="David"/>
          <w:sz w:val="24"/>
          <w:szCs w:val="24"/>
          <w:rtl/>
        </w:rPr>
        <w:t>ב</w:t>
      </w:r>
      <w:r w:rsidRPr="00C33526">
        <w:rPr>
          <w:rFonts w:ascii="David" w:hAnsi="David" w:cs="David" w:hint="cs"/>
          <w:sz w:val="24"/>
          <w:szCs w:val="24"/>
          <w:rtl/>
        </w:rPr>
        <w:t>עשורים</w:t>
      </w:r>
      <w:r w:rsidRPr="00C33526">
        <w:rPr>
          <w:rFonts w:ascii="David" w:hAnsi="David" w:cs="David"/>
          <w:sz w:val="24"/>
          <w:szCs w:val="24"/>
          <w:rtl/>
        </w:rPr>
        <w:t xml:space="preserve"> האחרונ</w:t>
      </w:r>
      <w:r w:rsidRPr="00C33526">
        <w:rPr>
          <w:rFonts w:ascii="David" w:hAnsi="David" w:cs="David" w:hint="cs"/>
          <w:sz w:val="24"/>
          <w:szCs w:val="24"/>
          <w:rtl/>
        </w:rPr>
        <w:t>ים</w:t>
      </w:r>
      <w:r w:rsidRPr="00C33526">
        <w:rPr>
          <w:rFonts w:ascii="David" w:hAnsi="David" w:cs="David"/>
          <w:sz w:val="24"/>
          <w:szCs w:val="24"/>
          <w:rtl/>
        </w:rPr>
        <w:t xml:space="preserve"> פורסמו מאמרים </w:t>
      </w:r>
      <w:r>
        <w:rPr>
          <w:rFonts w:ascii="David" w:hAnsi="David" w:cs="David" w:hint="cs"/>
          <w:sz w:val="24"/>
          <w:szCs w:val="24"/>
          <w:rtl/>
        </w:rPr>
        <w:t>הטוענים ל</w:t>
      </w:r>
      <w:r w:rsidRPr="00C33526">
        <w:rPr>
          <w:rFonts w:ascii="David" w:hAnsi="David" w:cs="David" w:hint="cs"/>
          <w:sz w:val="24"/>
          <w:szCs w:val="24"/>
          <w:rtl/>
        </w:rPr>
        <w:t>קשר</w:t>
      </w:r>
      <w:r w:rsidRPr="00C33526">
        <w:rPr>
          <w:rFonts w:ascii="David" w:hAnsi="David" w:cs="David"/>
          <w:sz w:val="24"/>
          <w:szCs w:val="24"/>
          <w:rtl/>
        </w:rPr>
        <w:t xml:space="preserve"> בין </w:t>
      </w:r>
      <w:r>
        <w:rPr>
          <w:rFonts w:ascii="David" w:hAnsi="David" w:cs="David" w:hint="cs"/>
          <w:sz w:val="24"/>
          <w:szCs w:val="24"/>
          <w:rtl/>
        </w:rPr>
        <w:t>הפרעות נפש פסיכוטיות ל</w:t>
      </w:r>
      <w:r w:rsidRPr="00C33526">
        <w:rPr>
          <w:rFonts w:ascii="David" w:hAnsi="David" w:cs="David"/>
          <w:sz w:val="24"/>
          <w:szCs w:val="24"/>
          <w:rtl/>
        </w:rPr>
        <w:t xml:space="preserve">בין מסוכנות ונטייה להתנהגות אלימה. גם המחוקק </w:t>
      </w:r>
      <w:r w:rsidRPr="00C33526">
        <w:rPr>
          <w:rFonts w:ascii="David" w:hAnsi="David" w:cs="David" w:hint="cs"/>
          <w:sz w:val="24"/>
          <w:szCs w:val="24"/>
          <w:rtl/>
        </w:rPr>
        <w:t xml:space="preserve">בישראל </w:t>
      </w:r>
      <w:r w:rsidRPr="00C33526">
        <w:rPr>
          <w:rFonts w:ascii="David" w:hAnsi="David" w:cs="David"/>
          <w:sz w:val="24"/>
          <w:szCs w:val="24"/>
          <w:rtl/>
        </w:rPr>
        <w:t xml:space="preserve">מכיר במצבים </w:t>
      </w:r>
      <w:r w:rsidRPr="00C33526">
        <w:rPr>
          <w:rFonts w:ascii="David" w:hAnsi="David" w:cs="David" w:hint="cs"/>
          <w:sz w:val="24"/>
          <w:szCs w:val="24"/>
          <w:rtl/>
        </w:rPr>
        <w:t>ש</w:t>
      </w:r>
      <w:r w:rsidRPr="00C33526">
        <w:rPr>
          <w:rFonts w:ascii="David" w:hAnsi="David" w:cs="David"/>
          <w:sz w:val="24"/>
          <w:szCs w:val="24"/>
          <w:rtl/>
        </w:rPr>
        <w:t>בהם עב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C33526">
        <w:rPr>
          <w:rFonts w:ascii="David" w:hAnsi="David" w:cs="David"/>
          <w:sz w:val="24"/>
          <w:szCs w:val="24"/>
          <w:rtl/>
        </w:rPr>
        <w:t>רה מבוצעת מתוך מחלת נפש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33526">
        <w:rPr>
          <w:rFonts w:ascii="David" w:hAnsi="David" w:cs="David"/>
          <w:sz w:val="24"/>
          <w:szCs w:val="24"/>
          <w:rtl/>
        </w:rPr>
        <w:t xml:space="preserve"> וקובע כי במקרים אלה </w:t>
      </w:r>
      <w:r>
        <w:rPr>
          <w:rFonts w:ascii="David" w:hAnsi="David" w:cs="David"/>
          <w:sz w:val="24"/>
          <w:szCs w:val="24"/>
          <w:rtl/>
        </w:rPr>
        <w:t>האדם אינו אחראי למעשיו ואינו בר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C33526">
        <w:rPr>
          <w:rFonts w:ascii="David" w:hAnsi="David" w:cs="David"/>
          <w:sz w:val="24"/>
          <w:szCs w:val="24"/>
          <w:rtl/>
        </w:rPr>
        <w:t>עונשין.</w:t>
      </w:r>
      <w:r>
        <w:rPr>
          <w:rFonts w:ascii="David" w:hAnsi="David" w:cs="David" w:hint="cs"/>
          <w:sz w:val="24"/>
          <w:szCs w:val="24"/>
          <w:rtl/>
        </w:rPr>
        <w:t xml:space="preserve"> עם זאת, ראוי וחשוב לציין כי מרבית חולי נפש אינם אלימים.</w:t>
      </w:r>
      <w:r w:rsidRPr="00C33526">
        <w:rPr>
          <w:rFonts w:ascii="David" w:hAnsi="David" w:cs="David"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 w:hint="cs"/>
          <w:b/>
          <w:bCs/>
          <w:sz w:val="24"/>
          <w:szCs w:val="24"/>
          <w:rtl/>
        </w:rPr>
        <w:t>מטרת המחקר</w:t>
      </w:r>
      <w:r w:rsidR="00E57090" w:rsidRPr="00E5709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E57090" w:rsidRPr="00E57090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E57090" w:rsidRPr="00E57090">
        <w:rPr>
          <w:rFonts w:ascii="David" w:hAnsi="David" w:cs="David"/>
          <w:sz w:val="24"/>
          <w:szCs w:val="24"/>
          <w:rtl/>
        </w:rPr>
        <w:t xml:space="preserve"> לבחון מאפיינים של </w:t>
      </w:r>
      <w:r>
        <w:rPr>
          <w:rFonts w:ascii="David" w:hAnsi="David" w:cs="David" w:hint="cs"/>
          <w:sz w:val="24"/>
          <w:szCs w:val="24"/>
          <w:rtl/>
        </w:rPr>
        <w:t>נטילת חיים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cs="David"/>
          <w:sz w:val="24"/>
          <w:szCs w:val="24"/>
        </w:rPr>
        <w:t>homicide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="00E57090" w:rsidRPr="00E57090">
        <w:rPr>
          <w:rFonts w:ascii="David" w:hAnsi="David" w:cs="David"/>
          <w:sz w:val="24"/>
          <w:szCs w:val="24"/>
          <w:rtl/>
        </w:rPr>
        <w:t>הנובעת מפסיכוזה ולהשוות בינ</w:t>
      </w:r>
      <w:r>
        <w:rPr>
          <w:rFonts w:ascii="David" w:hAnsi="David" w:cs="David" w:hint="cs"/>
          <w:sz w:val="24"/>
          <w:szCs w:val="24"/>
          <w:rtl/>
        </w:rPr>
        <w:t>ם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לבין </w:t>
      </w:r>
      <w:r>
        <w:rPr>
          <w:rFonts w:ascii="David" w:hAnsi="David" w:cs="David" w:hint="cs"/>
          <w:sz w:val="24"/>
          <w:szCs w:val="24"/>
          <w:rtl/>
        </w:rPr>
        <w:t xml:space="preserve">מאפיינים של </w:t>
      </w:r>
      <w:r w:rsidR="00E57090" w:rsidRPr="00E57090">
        <w:rPr>
          <w:rFonts w:ascii="David" w:hAnsi="David" w:cs="David"/>
          <w:sz w:val="24"/>
          <w:szCs w:val="24"/>
          <w:rtl/>
        </w:rPr>
        <w:t>רצח פליל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E57090" w:rsidRPr="00E57090">
        <w:rPr>
          <w:rFonts w:ascii="David" w:hAnsi="David" w:cs="David"/>
          <w:sz w:val="24"/>
          <w:szCs w:val="24"/>
          <w:rtl/>
        </w:rPr>
        <w:t>. בחינה שכזו טרם נעשתה בישראל.</w:t>
      </w:r>
      <w:r w:rsidR="00E57090" w:rsidRPr="00E5709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 w:hint="cs"/>
          <w:b/>
          <w:bCs/>
          <w:sz w:val="24"/>
          <w:szCs w:val="24"/>
          <w:rtl/>
        </w:rPr>
        <w:t xml:space="preserve">השיטה: 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נבדקו 45 תיקים רפואיים של אנשים שביצעו </w:t>
      </w:r>
      <w:r>
        <w:rPr>
          <w:rFonts w:ascii="David" w:hAnsi="David" w:cs="David" w:hint="cs"/>
          <w:sz w:val="24"/>
          <w:szCs w:val="24"/>
          <w:rtl/>
        </w:rPr>
        <w:t>עבירות המתה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בשנים 2000</w:t>
      </w:r>
      <w:r w:rsidR="00E57090" w:rsidRPr="00E57090">
        <w:rPr>
          <w:rFonts w:ascii="David" w:hAnsi="David" w:cs="David" w:hint="cs"/>
          <w:sz w:val="24"/>
          <w:szCs w:val="24"/>
          <w:rtl/>
        </w:rPr>
        <w:t>–</w:t>
      </w:r>
      <w:r w:rsidR="00E57090" w:rsidRPr="00E57090">
        <w:rPr>
          <w:rFonts w:ascii="David" w:hAnsi="David" w:cs="David"/>
          <w:sz w:val="24"/>
          <w:szCs w:val="24"/>
          <w:rtl/>
        </w:rPr>
        <w:t>2014 ונשלחו להסתכלות פסיכיאטרית בחטיבה לב</w:t>
      </w:r>
      <w:r w:rsidR="00E57090" w:rsidRPr="00E57090">
        <w:rPr>
          <w:rFonts w:ascii="David" w:hAnsi="David" w:cs="David" w:hint="cs"/>
          <w:sz w:val="24"/>
          <w:szCs w:val="24"/>
          <w:rtl/>
        </w:rPr>
        <w:t>י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טחון מרבי בשער מנשה. במחקר הושוו תיקיהם של 26 נבדקים אשר נמצאו </w:t>
      </w:r>
      <w:r w:rsidR="00E57090" w:rsidRPr="00E57090">
        <w:rPr>
          <w:rFonts w:ascii="David" w:hAnsi="David" w:cs="David" w:hint="cs"/>
          <w:sz w:val="24"/>
          <w:szCs w:val="24"/>
          <w:rtl/>
        </w:rPr>
        <w:t>לא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אחראים </w:t>
      </w:r>
      <w:r w:rsidR="00E57090" w:rsidRPr="00E57090">
        <w:rPr>
          <w:rFonts w:ascii="David" w:hAnsi="David" w:cs="David" w:hint="cs"/>
          <w:sz w:val="24"/>
          <w:szCs w:val="24"/>
          <w:rtl/>
        </w:rPr>
        <w:t>ולא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כשירים לעמוד לדין ואושפזו בתוקף צו אשפוז ("חולים"), עם תיקיהם של 19 נבדקים אשר חוות הדעת הפסיכיאטרית ובית המשפט מצאו אותם </w:t>
      </w:r>
      <w:bookmarkStart w:id="0" w:name="_GoBack"/>
      <w:bookmarkEnd w:id="0"/>
      <w:r w:rsidR="00E57090" w:rsidRPr="00E57090">
        <w:rPr>
          <w:rFonts w:ascii="David" w:hAnsi="David" w:cs="David"/>
          <w:sz w:val="24"/>
          <w:szCs w:val="24"/>
          <w:rtl/>
        </w:rPr>
        <w:t>אחראים וכשירים ("פליליים")</w:t>
      </w:r>
      <w:r w:rsidR="00E57090" w:rsidRPr="00E57090">
        <w:rPr>
          <w:rFonts w:ascii="David" w:hAnsi="David" w:cs="David" w:hint="cs"/>
          <w:sz w:val="24"/>
          <w:szCs w:val="24"/>
          <w:rtl/>
        </w:rPr>
        <w:t>.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 w:hint="cs"/>
          <w:b/>
          <w:bCs/>
          <w:sz w:val="24"/>
          <w:szCs w:val="24"/>
          <w:rtl/>
        </w:rPr>
        <w:t>עיקרי הממצאים</w:t>
      </w:r>
      <w:r w:rsidR="00E57090" w:rsidRPr="00E57090">
        <w:rPr>
          <w:rFonts w:ascii="David" w:hAnsi="David" w:cs="David" w:hint="cs"/>
          <w:sz w:val="24"/>
          <w:szCs w:val="24"/>
          <w:rtl/>
        </w:rPr>
        <w:t>: נמצא הבדל בין הקבוצות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במניע, </w:t>
      </w:r>
      <w:r w:rsidR="00E57090" w:rsidRPr="00E57090">
        <w:rPr>
          <w:rFonts w:ascii="David" w:hAnsi="David" w:cs="David" w:hint="cs"/>
          <w:sz w:val="24"/>
          <w:szCs w:val="24"/>
          <w:rtl/>
        </w:rPr>
        <w:t>בהידרדרות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שקדמה ל</w:t>
      </w:r>
      <w:r>
        <w:rPr>
          <w:rFonts w:ascii="David" w:hAnsi="David" w:cs="David" w:hint="cs"/>
          <w:sz w:val="24"/>
          <w:szCs w:val="24"/>
          <w:rtl/>
        </w:rPr>
        <w:t>מעשה</w:t>
      </w:r>
      <w:r w:rsidR="00E57090" w:rsidRPr="00E57090">
        <w:rPr>
          <w:rFonts w:ascii="David" w:hAnsi="David" w:cs="David"/>
          <w:sz w:val="24"/>
          <w:szCs w:val="24"/>
          <w:rtl/>
        </w:rPr>
        <w:t>, במידת התכנון ובהתנהגות שלאחר ה</w:t>
      </w:r>
      <w:r>
        <w:rPr>
          <w:rFonts w:ascii="David" w:hAnsi="David" w:cs="David" w:hint="cs"/>
          <w:sz w:val="24"/>
          <w:szCs w:val="24"/>
          <w:rtl/>
        </w:rPr>
        <w:t>מעשה</w:t>
      </w:r>
      <w:r w:rsidR="00E57090" w:rsidRPr="00E57090">
        <w:rPr>
          <w:rFonts w:ascii="David" w:hAnsi="David" w:cs="David"/>
          <w:sz w:val="24"/>
          <w:szCs w:val="24"/>
          <w:rtl/>
        </w:rPr>
        <w:t>. נמצא גם כי לרוב החולים היה רקע של שימוש בסמים, אשפוזים קודמים על רקע של מצב פסיכוטי המלווה באלימות</w:t>
      </w:r>
      <w:r w:rsidR="00E57090" w:rsidRPr="00E57090">
        <w:rPr>
          <w:rFonts w:ascii="David" w:hAnsi="David" w:cs="David" w:hint="cs"/>
          <w:sz w:val="24"/>
          <w:szCs w:val="24"/>
          <w:rtl/>
        </w:rPr>
        <w:t>,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וכן רובם הכירו את הקרבן.</w:t>
      </w:r>
      <w:r w:rsidR="00E57090" w:rsidRPr="00E5709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 w:hint="cs"/>
          <w:b/>
          <w:bCs/>
          <w:sz w:val="24"/>
          <w:szCs w:val="24"/>
          <w:rtl/>
        </w:rPr>
        <w:t>מסקנות</w:t>
      </w:r>
      <w:r w:rsidR="00E57090" w:rsidRPr="00E57090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נטילת חיים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</w:t>
      </w:r>
      <w:r w:rsidR="00E57090" w:rsidRPr="00E57090">
        <w:rPr>
          <w:rFonts w:ascii="David" w:hAnsi="David" w:cs="David" w:hint="cs"/>
          <w:sz w:val="24"/>
          <w:szCs w:val="24"/>
          <w:rtl/>
        </w:rPr>
        <w:t>מתוך פסיכוזה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מובח</w:t>
      </w:r>
      <w:r>
        <w:rPr>
          <w:rFonts w:ascii="David" w:hAnsi="David" w:cs="David" w:hint="cs"/>
          <w:sz w:val="24"/>
          <w:szCs w:val="24"/>
          <w:rtl/>
        </w:rPr>
        <w:t>נת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מרצח </w:t>
      </w:r>
      <w:r w:rsidR="00E57090" w:rsidRPr="00E57090">
        <w:rPr>
          <w:rFonts w:ascii="David" w:hAnsi="David" w:cs="David" w:hint="cs"/>
          <w:sz w:val="24"/>
          <w:szCs w:val="24"/>
          <w:rtl/>
        </w:rPr>
        <w:t>פלילי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בכמה ממדים</w:t>
      </w:r>
      <w:r w:rsidR="00E57090" w:rsidRPr="00E57090">
        <w:rPr>
          <w:rFonts w:ascii="David" w:hAnsi="David" w:cs="David" w:hint="cs"/>
          <w:sz w:val="24"/>
          <w:szCs w:val="24"/>
          <w:rtl/>
        </w:rPr>
        <w:t>.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 ממצאי המחקר עולים בקנה אחד עם מחקרים נוספים שנעשו במדינות שונות והם בעלי השלכות טיפוליות, מניעתיות וחוקיות, אשר י</w:t>
      </w:r>
      <w:r w:rsidR="00E57090" w:rsidRPr="00E57090">
        <w:rPr>
          <w:rFonts w:ascii="David" w:hAnsi="David" w:cs="David" w:hint="cs"/>
          <w:sz w:val="24"/>
          <w:szCs w:val="24"/>
          <w:rtl/>
        </w:rPr>
        <w:t>י</w:t>
      </w:r>
      <w:r w:rsidR="00E57090" w:rsidRPr="00E57090">
        <w:rPr>
          <w:rFonts w:ascii="David" w:hAnsi="David" w:cs="David"/>
          <w:sz w:val="24"/>
          <w:szCs w:val="24"/>
          <w:rtl/>
        </w:rPr>
        <w:t xml:space="preserve">דונו </w:t>
      </w:r>
      <w:r w:rsidR="00E57090" w:rsidRPr="00E57090">
        <w:rPr>
          <w:rFonts w:ascii="David" w:hAnsi="David" w:cs="David" w:hint="cs"/>
          <w:sz w:val="24"/>
          <w:szCs w:val="24"/>
          <w:rtl/>
        </w:rPr>
        <w:t>בהרצאה</w:t>
      </w:r>
      <w:r w:rsidR="00E57090" w:rsidRPr="00E57090">
        <w:rPr>
          <w:rFonts w:ascii="David" w:hAnsi="David" w:cs="David"/>
          <w:sz w:val="24"/>
          <w:szCs w:val="24"/>
          <w:rtl/>
        </w:rPr>
        <w:t>.</w:t>
      </w:r>
    </w:p>
    <w:p w:rsidR="00E57090" w:rsidRPr="00E57090" w:rsidRDefault="00E57090" w:rsidP="00E57090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893D5D" w:rsidRDefault="00893D5D"/>
    <w:sectPr w:rsidR="00893D5D" w:rsidSect="004525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7090"/>
    <w:rsid w:val="00452511"/>
    <w:rsid w:val="0050467A"/>
    <w:rsid w:val="005116D0"/>
    <w:rsid w:val="007E7FAB"/>
    <w:rsid w:val="00893D5D"/>
    <w:rsid w:val="00D0435F"/>
    <w:rsid w:val="00E57090"/>
    <w:rsid w:val="00EC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Yaron-antar</dc:creator>
  <cp:lastModifiedBy>user</cp:lastModifiedBy>
  <cp:revision>2</cp:revision>
  <dcterms:created xsi:type="dcterms:W3CDTF">2019-04-07T15:17:00Z</dcterms:created>
  <dcterms:modified xsi:type="dcterms:W3CDTF">2019-04-07T15:17:00Z</dcterms:modified>
</cp:coreProperties>
</file>